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A1130" w:rsidRDefault="009A1130" w:rsidP="009A1130">
      <w:pPr>
        <w:jc w:val="center"/>
      </w:pPr>
    </w:p>
    <w:p w:rsidR="009A1130" w:rsidRDefault="009A1130" w:rsidP="009A1130">
      <w:pPr>
        <w:jc w:val="center"/>
      </w:pPr>
    </w:p>
    <w:p w:rsidR="009A1130" w:rsidRDefault="009A1130" w:rsidP="009A1130">
      <w:pPr>
        <w:jc w:val="center"/>
      </w:pPr>
    </w:p>
    <w:p w:rsidR="009A1130" w:rsidRDefault="0039342A" w:rsidP="009A1130">
      <w:pPr>
        <w:jc w:val="center"/>
      </w:pPr>
      <w:r>
        <w:t>Wyatt Vs Stickney Case: Right to Treatment for Mentally Impaired Prisoners</w:t>
      </w:r>
    </w:p>
    <w:p w:rsidR="009A1130" w:rsidRDefault="0039342A" w:rsidP="009A1130">
      <w:pPr>
        <w:jc w:val="center"/>
      </w:pPr>
      <w:r>
        <w:t>Student’s Name</w:t>
      </w:r>
    </w:p>
    <w:p w:rsidR="009A1130" w:rsidRDefault="0039342A" w:rsidP="009A1130">
      <w:pPr>
        <w:jc w:val="center"/>
      </w:pPr>
      <w:r>
        <w:t>Institutional Affiliation</w:t>
      </w:r>
    </w:p>
    <w:p w:rsidR="009A1130" w:rsidRDefault="0039342A" w:rsidP="009A1130">
      <w:pPr>
        <w:jc w:val="center"/>
      </w:pPr>
      <w:r>
        <w:t>Date</w:t>
      </w:r>
    </w:p>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Pr="00381992" w:rsidRDefault="0039342A" w:rsidP="009A1130">
      <w:pPr>
        <w:jc w:val="center"/>
        <w:rPr>
          <w:b/>
        </w:rPr>
      </w:pPr>
      <w:r w:rsidRPr="00381992">
        <w:rPr>
          <w:b/>
        </w:rPr>
        <w:lastRenderedPageBreak/>
        <w:t>The Wyatt Vs Stickney Case</w:t>
      </w:r>
    </w:p>
    <w:p w:rsidR="001C1170" w:rsidRDefault="0039342A" w:rsidP="009A1130">
      <w:pPr>
        <w:ind w:firstLine="720"/>
      </w:pPr>
      <w:r>
        <w:t>Different states have different laws governing the rights of patients, including the mentally impaired. However, when it comes to the right of treatment, there should be some omissions in the law as some of the provisions and specific requirements of the m</w:t>
      </w:r>
      <w:r>
        <w:t xml:space="preserve">entally impaired towards individualized treatment cannot be achieved. When it comes to the mentally impaired, such patients require many needs that making an institution o have all of them and be able to provide such individual treatment to every mentally </w:t>
      </w:r>
      <w:r>
        <w:t>impaired patient cannot be practical. With this regard, despite there being provisions of the rights to treatment of citizens, the case should be different with the mentally impaired as that one can result to deinstituti</w:t>
      </w:r>
      <w:r w:rsidR="00A26E4C">
        <w:t xml:space="preserve">onalization like in the case of Stickney </w:t>
      </w:r>
      <w:r w:rsidR="00B42A26">
        <w:t>vs.</w:t>
      </w:r>
      <w:r w:rsidR="00A26E4C">
        <w:t xml:space="preserve"> </w:t>
      </w:r>
      <w:r>
        <w:t>Wyat</w:t>
      </w:r>
      <w:r>
        <w:t xml:space="preserve">t </w:t>
      </w:r>
      <w:r>
        <w:t xml:space="preserve">case. </w:t>
      </w:r>
    </w:p>
    <w:p w:rsidR="001C1170" w:rsidRDefault="0039342A" w:rsidP="009A1130">
      <w:pPr>
        <w:ind w:firstLine="720"/>
      </w:pPr>
      <w:r>
        <w:t>The institutional changes that were being mandated by the lawsuits through the decree seemed impossible. The lawsuits draw into question the role of the tradition litigation through courts. Courts are making rulings from their perspect</w:t>
      </w:r>
      <w:r>
        <w:t>ive without taking into consideration what the institutions that they are ruling over to implement change what they undergo and how they operate. The role of the courts usually terminates with a judicial decree of the rights that exists between parties, an</w:t>
      </w:r>
      <w:r>
        <w:t xml:space="preserve">d they give an order that directs the parties towards performing individual acts. The courts unanimously in the Wyatt </w:t>
      </w:r>
      <w:r w:rsidR="00B42A26">
        <w:t>vs.</w:t>
      </w:r>
      <w:r>
        <w:t xml:space="preserve"> Stickney case ruled that these institutions should adopt changes of proving individualized medication as a right to treatment to the me</w:t>
      </w:r>
      <w:r>
        <w:t>ntally impaired without knowing what the institutions need to undergo to achieve this status quo. Some institutional changes are impossible!</w:t>
      </w:r>
    </w:p>
    <w:p w:rsidR="001C1170" w:rsidRDefault="0039342A" w:rsidP="009A1130">
      <w:pPr>
        <w:ind w:firstLine="720"/>
      </w:pPr>
      <w:r>
        <w:t>Customarily, the actual performance of the changes that the courts have tried to intervene like in this case has be</w:t>
      </w:r>
      <w:r>
        <w:t xml:space="preserve">en taking place without the participation of these courts. When it is time for the institutions to implement an inevitable change, it will just be implemented and initiated as </w:t>
      </w:r>
      <w:r>
        <w:lastRenderedPageBreak/>
        <w:t xml:space="preserve">planned. However, when the courts give a decree that there should be changes to </w:t>
      </w:r>
      <w:r>
        <w:t>accommodate the mentally impaired and give them individualized treatment without taking into consideration whether the institutions themselves have the mandate of initiating the changes, it becomes awful leading to deinstitutionalization as in the case. It</w:t>
      </w:r>
      <w:r>
        <w:t xml:space="preserve"> is evident how the federal courts in recent cases are mandating institutional changes through an assumed active role in hospitals and prisons. In their premiere decree, they have assumed they have taken into an implementation of the orders actively assuri</w:t>
      </w:r>
      <w:r>
        <w:t>ng that these decrees become more that then the pronouncements on paper. The court had decreed this Wyatt and Stickney case, and later to revisit it and reinforce the implementation of the institutional change. The judge in the case, Frank Johnson ruled in</w:t>
      </w:r>
      <w:r>
        <w:t xml:space="preserve"> the District of Alabama that the mentally in the state hospitals of Alabama were being denied their rights of treatment and termed it a violation of the constitution, not knowing the effect the implementation could bring. </w:t>
      </w:r>
    </w:p>
    <w:p w:rsidR="001C1170" w:rsidRDefault="0039342A" w:rsidP="009A1130">
      <w:pPr>
        <w:ind w:firstLine="720"/>
      </w:pPr>
      <w:r>
        <w:t>In judge Johnson’s ruling, he unquestio</w:t>
      </w:r>
      <w:r w:rsidR="0002683F">
        <w:t>nably decreed that patients possess the</w:t>
      </w:r>
      <w:r>
        <w:t xml:space="preserve"> right to </w:t>
      </w:r>
      <w:r w:rsidR="0002683F">
        <w:t>obtain</w:t>
      </w:r>
      <w:r>
        <w:t xml:space="preserve"> such individual treatment and added that such would </w:t>
      </w:r>
      <w:r w:rsidR="00EB1E15">
        <w:t>provide</w:t>
      </w:r>
      <w:r>
        <w:t xml:space="preserve"> them a realistic </w:t>
      </w:r>
      <w:r w:rsidR="00EB1E15">
        <w:t>chance</w:t>
      </w:r>
      <w:r>
        <w:t xml:space="preserve"> for them to be cured or as well be able to improve their mental conditions. He </w:t>
      </w:r>
      <w:r>
        <w:t>said that the programs in the hospitals had only failed to conform towards the minimums that were established towards the tr</w:t>
      </w:r>
      <w:r w:rsidR="00BC7059">
        <w:t>eatment of the mentally ill. T</w:t>
      </w:r>
      <w:r>
        <w:t>hus</w:t>
      </w:r>
      <w:r w:rsidR="00BC7059">
        <w:t>,</w:t>
      </w:r>
      <w:r>
        <w:t xml:space="preserve"> he said that the constitution clause had been violated. He quoted in is ruling, </w:t>
      </w:r>
      <w:r w:rsidRPr="00BC7059">
        <w:rPr>
          <w:i/>
        </w:rPr>
        <w:t xml:space="preserve">“ to </w:t>
      </w:r>
      <w:r w:rsidR="008B4156" w:rsidRPr="00BC7059">
        <w:rPr>
          <w:i/>
        </w:rPr>
        <w:t>deny</w:t>
      </w:r>
      <w:r w:rsidRPr="00BC7059">
        <w:rPr>
          <w:i/>
        </w:rPr>
        <w:t xml:space="preserve"> a</w:t>
      </w:r>
      <w:r w:rsidRPr="00BC7059">
        <w:rPr>
          <w:i/>
        </w:rPr>
        <w:t xml:space="preserve">ny citizen his liberty upon altruistic theory whose confinement is for reason of human therapeutic and fail to give </w:t>
      </w:r>
      <w:r w:rsidR="008B4156" w:rsidRPr="00BC7059">
        <w:rPr>
          <w:i/>
        </w:rPr>
        <w:t>sufficient</w:t>
      </w:r>
      <w:r w:rsidRPr="00BC7059">
        <w:rPr>
          <w:i/>
        </w:rPr>
        <w:t xml:space="preserve"> treatment has thus violated the </w:t>
      </w:r>
      <w:r w:rsidR="00D33A18" w:rsidRPr="00BC7059">
        <w:rPr>
          <w:i/>
        </w:rPr>
        <w:t>basics</w:t>
      </w:r>
      <w:r w:rsidR="0050403D">
        <w:rPr>
          <w:i/>
        </w:rPr>
        <w:t xml:space="preserve"> of the due process</w:t>
      </w:r>
      <w:r w:rsidRPr="00BC7059">
        <w:rPr>
          <w:i/>
        </w:rPr>
        <w:t>”</w:t>
      </w:r>
      <w:r w:rsidR="0050403D" w:rsidRPr="0050403D">
        <w:rPr>
          <w:shd w:val="clear" w:color="auto" w:fill="FFFFFF"/>
        </w:rPr>
        <w:t xml:space="preserve"> </w:t>
      </w:r>
      <w:r w:rsidR="0050403D">
        <w:rPr>
          <w:shd w:val="clear" w:color="auto" w:fill="FFFFFF"/>
        </w:rPr>
        <w:t xml:space="preserve">(Kaplan, </w:t>
      </w:r>
      <w:r w:rsidR="0050403D" w:rsidRPr="00B70ED0">
        <w:rPr>
          <w:shd w:val="clear" w:color="auto" w:fill="FFFFFF"/>
        </w:rPr>
        <w:t xml:space="preserve">1975). </w:t>
      </w:r>
      <w:r>
        <w:t xml:space="preserve"> Thus, the institutions were insinuated to be wrong by not providi</w:t>
      </w:r>
      <w:r>
        <w:t xml:space="preserve">ng mentally impaired patients with individualized medicine despite that they had no capabilities by the moment and even in the later implementation, it only led to deinstitutionalization since the exercise was an impossibility.  </w:t>
      </w:r>
    </w:p>
    <w:p w:rsidR="001C1170" w:rsidRDefault="0039342A" w:rsidP="009A1130">
      <w:pPr>
        <w:ind w:firstLine="720"/>
      </w:pPr>
      <w:r>
        <w:lastRenderedPageBreak/>
        <w:t>The conditions for the imp</w:t>
      </w:r>
      <w:r>
        <w:t>lementation of the changes in Alabama were deplorable, but still, the court never considered this. Even after the institution appealing, the requirements for the improvement of the conditions was commendable. Birnbaum had sought for development, which coul</w:t>
      </w:r>
      <w:r>
        <w:t>d have been a good idea by the lost to Ennis and his friends in the Mental Health Law Project. There primary goals of Ennis and the Law Project friends was to abolish the institution, that it had failed to implement the required status quo for the mentally</w:t>
      </w:r>
      <w:r>
        <w:t xml:space="preserve"> impaired. The prospect of victory for Birnbaum fell out due to the opposed agendas that were highlighted. According to Birnbaum, the decision that had been raised was insurmountable as he prospected in financial problems that could lead to the discharge o</w:t>
      </w:r>
      <w:r>
        <w:t>f thousands of the patients and thus he sorted to challenge the 1965 Medicaid Constitutional legislation that had an exclusion of Medicaid benefits to mental health patients that were less than sixty-five years. According to him, if Medicaid could have inc</w:t>
      </w:r>
      <w:r>
        <w:t>luded mental health patients, then Alabama could be in a position to quadruple its expenditure on the mental health patients without any increment on the appropriation of the state. Unfortunately, the other lawsuits in the case were never willing to partic</w:t>
      </w:r>
      <w:r>
        <w:t>ipate in the case as they thought that Birnbaum stated that their recommendation was being opposed by Birnbaum as bad. Insinuation!</w:t>
      </w:r>
    </w:p>
    <w:p w:rsidR="00695D82" w:rsidRDefault="0039342A" w:rsidP="009A1130">
      <w:pPr>
        <w:ind w:firstLine="720"/>
      </w:pPr>
      <w:r>
        <w:t>Conclusively, the Wyatt and Stickney case was unintentionally and professionally baseless. The Wyatt and Stickney case let i</w:t>
      </w:r>
      <w:r>
        <w:t>nto loss of the scarce mental health resources in Alabama. A large number o</w:t>
      </w:r>
      <w:r w:rsidR="009A1130">
        <w:t>f</w:t>
      </w:r>
      <w:r>
        <w:t xml:space="preserve"> mental health patients were released at a time when enormous amounts of money had been invested in improving outmoded buildings. All these resulted from the attempt to comply with</w:t>
      </w:r>
      <w:r>
        <w:t xml:space="preserve"> the ruling made by Judge Johnson. It is not precise if the treatment for the patients that remained improved despite the ration of staffing was growing. In general, in </w:t>
      </w:r>
      <w:r>
        <w:lastRenderedPageBreak/>
        <w:t>an objective definition, the right to treatment did not mean treatment at all, but rath</w:t>
      </w:r>
      <w:r>
        <w:t>er, it was defined by the staffing ratio and physical amenities in Alabama.</w:t>
      </w:r>
    </w:p>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9A1130" w:rsidRDefault="009A1130" w:rsidP="001C1170"/>
    <w:p w:rsidR="001C1170" w:rsidRDefault="0039342A" w:rsidP="009A1130">
      <w:pPr>
        <w:jc w:val="center"/>
      </w:pPr>
      <w:r>
        <w:lastRenderedPageBreak/>
        <w:t>References</w:t>
      </w:r>
    </w:p>
    <w:p w:rsidR="009A1130" w:rsidRPr="00B70ED0" w:rsidRDefault="0039342A" w:rsidP="00B70ED0">
      <w:pPr>
        <w:ind w:left="720" w:hanging="720"/>
        <w:contextualSpacing/>
        <w:rPr>
          <w:shd w:val="clear" w:color="auto" w:fill="FFFFFF"/>
        </w:rPr>
      </w:pPr>
      <w:r w:rsidRPr="00B70ED0">
        <w:rPr>
          <w:shd w:val="clear" w:color="auto" w:fill="FFFFFF"/>
        </w:rPr>
        <w:t>Carr</w:t>
      </w:r>
      <w:bookmarkStart w:id="0" w:name="_GoBack"/>
      <w:bookmarkEnd w:id="0"/>
      <w:r w:rsidRPr="00B70ED0">
        <w:rPr>
          <w:shd w:val="clear" w:color="auto" w:fill="FFFFFF"/>
        </w:rPr>
        <w:t>, L. W., &amp; In, A. D. A. P. (2004). Wyatt v. Stickney: A landmark decision. </w:t>
      </w:r>
      <w:r w:rsidRPr="00B70ED0">
        <w:rPr>
          <w:i/>
          <w:iCs/>
          <w:shd w:val="clear" w:color="auto" w:fill="FFFFFF"/>
        </w:rPr>
        <w:t>Alabama Disabilities Advocacy Program Newsletter</w:t>
      </w:r>
      <w:r w:rsidRPr="00B70ED0">
        <w:rPr>
          <w:shd w:val="clear" w:color="auto" w:fill="FFFFFF"/>
        </w:rPr>
        <w:t>, 1-3.</w:t>
      </w:r>
    </w:p>
    <w:p w:rsidR="009A1130" w:rsidRPr="00B70ED0" w:rsidRDefault="0039342A" w:rsidP="00B70ED0">
      <w:pPr>
        <w:ind w:left="720" w:hanging="720"/>
        <w:contextualSpacing/>
        <w:rPr>
          <w:shd w:val="clear" w:color="auto" w:fill="FFFFFF"/>
        </w:rPr>
      </w:pPr>
      <w:r w:rsidRPr="00B70ED0">
        <w:rPr>
          <w:shd w:val="clear" w:color="auto" w:fill="FFFFFF"/>
        </w:rPr>
        <w:t xml:space="preserve">Kaplan, D. S. </w:t>
      </w:r>
      <w:r w:rsidRPr="00B70ED0">
        <w:rPr>
          <w:shd w:val="clear" w:color="auto" w:fill="FFFFFF"/>
        </w:rPr>
        <w:t>(1975). The Wyatt Case: Implementation of a Judicial Decree Ordering Institutional Change, 84 Yale LJ 1338 (1975).</w:t>
      </w:r>
    </w:p>
    <w:p w:rsidR="00B70ED0" w:rsidRPr="00B70ED0" w:rsidRDefault="0039342A" w:rsidP="00B70ED0">
      <w:pPr>
        <w:ind w:left="720" w:hanging="720"/>
        <w:contextualSpacing/>
        <w:rPr>
          <w:shd w:val="clear" w:color="auto" w:fill="FFFFFF"/>
        </w:rPr>
      </w:pPr>
      <w:r w:rsidRPr="00B70ED0">
        <w:rPr>
          <w:shd w:val="clear" w:color="auto" w:fill="FFFFFF"/>
        </w:rPr>
        <w:t>Schwartz, L. H. (1974). Litigating the Right to Treatment Wyatt v. Stickney. </w:t>
      </w:r>
      <w:r w:rsidRPr="00B70ED0">
        <w:rPr>
          <w:i/>
          <w:iCs/>
          <w:shd w:val="clear" w:color="auto" w:fill="FFFFFF"/>
        </w:rPr>
        <w:t>Psychiatric Services</w:t>
      </w:r>
      <w:r w:rsidRPr="00B70ED0">
        <w:rPr>
          <w:shd w:val="clear" w:color="auto" w:fill="FFFFFF"/>
        </w:rPr>
        <w:t>, </w:t>
      </w:r>
      <w:r w:rsidRPr="00B70ED0">
        <w:rPr>
          <w:i/>
          <w:iCs/>
          <w:shd w:val="clear" w:color="auto" w:fill="FFFFFF"/>
        </w:rPr>
        <w:t>25</w:t>
      </w:r>
      <w:r w:rsidRPr="00B70ED0">
        <w:rPr>
          <w:shd w:val="clear" w:color="auto" w:fill="FFFFFF"/>
        </w:rPr>
        <w:t>(7), 460-463.</w:t>
      </w:r>
    </w:p>
    <w:p w:rsidR="009A1130" w:rsidRPr="00B70ED0" w:rsidRDefault="0039342A" w:rsidP="00B70ED0">
      <w:pPr>
        <w:ind w:left="720" w:hanging="720"/>
        <w:contextualSpacing/>
      </w:pPr>
      <w:r w:rsidRPr="00B70ED0">
        <w:rPr>
          <w:rStyle w:val="Emphasis"/>
          <w:bdr w:val="none" w:sz="0" w:space="0" w:color="auto" w:frame="1"/>
          <w:shd w:val="clear" w:color="auto" w:fill="FFFFFF"/>
        </w:rPr>
        <w:t>The Wyatt Case: Implementa</w:t>
      </w:r>
      <w:r w:rsidRPr="00B70ED0">
        <w:rPr>
          <w:rStyle w:val="Emphasis"/>
          <w:bdr w:val="none" w:sz="0" w:space="0" w:color="auto" w:frame="1"/>
          <w:shd w:val="clear" w:color="auto" w:fill="FFFFFF"/>
        </w:rPr>
        <w:t>tion of a Judicial Decree Ordering Institutional Change</w:t>
      </w:r>
      <w:r w:rsidRPr="00B70ED0">
        <w:rPr>
          <w:shd w:val="clear" w:color="auto" w:fill="FFFFFF"/>
        </w:rPr>
        <w:t>, 84 </w:t>
      </w:r>
      <w:r w:rsidRPr="00B70ED0">
        <w:rPr>
          <w:rStyle w:val="smallcaps"/>
          <w:smallCaps/>
          <w:bdr w:val="none" w:sz="0" w:space="0" w:color="auto" w:frame="1"/>
          <w:shd w:val="clear" w:color="auto" w:fill="FFFFFF"/>
        </w:rPr>
        <w:t>Yale L.J.</w:t>
      </w:r>
      <w:r w:rsidRPr="00B70ED0">
        <w:rPr>
          <w:shd w:val="clear" w:color="auto" w:fill="FFFFFF"/>
        </w:rPr>
        <w:t> (1975). Retrieved from: https://digitalcommons.law.yale.edu/ylj/vol84/iss6/3</w:t>
      </w:r>
    </w:p>
    <w:p w:rsidR="009A1130" w:rsidRPr="001C1170" w:rsidRDefault="009A1130" w:rsidP="001C1170"/>
    <w:sectPr w:rsidR="009A1130" w:rsidRPr="001C1170" w:rsidSect="009A1130">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9342A" w:rsidRDefault="0039342A" w:rsidP="00963FE6">
      <w:pPr>
        <w:spacing w:line="240" w:lineRule="auto"/>
      </w:pPr>
      <w:r>
        <w:separator/>
      </w:r>
    </w:p>
  </w:endnote>
  <w:endnote w:type="continuationSeparator" w:id="1">
    <w:p w:rsidR="0039342A" w:rsidRDefault="0039342A" w:rsidP="00963FE6">
      <w:pPr>
        <w:spacing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4000207B" w:usb2="00000000"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9342A" w:rsidRDefault="0039342A" w:rsidP="00963FE6">
      <w:pPr>
        <w:spacing w:line="240" w:lineRule="auto"/>
      </w:pPr>
      <w:r>
        <w:separator/>
      </w:r>
    </w:p>
  </w:footnote>
  <w:footnote w:type="continuationSeparator" w:id="1">
    <w:p w:rsidR="0039342A" w:rsidRDefault="0039342A" w:rsidP="00963FE6">
      <w:pPr>
        <w:spacing w:line="240" w:lineRule="auto"/>
      </w:pPr>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30" w:rsidRDefault="0039342A" w:rsidP="009A1130">
    <w:pPr>
      <w:pStyle w:val="Header"/>
      <w:jc w:val="right"/>
    </w:pPr>
    <w:r>
      <w:t xml:space="preserve">RIGHT TO </w:t>
    </w:r>
    <w:r w:rsidR="00F24E76">
      <w:t xml:space="preserve">PERSONAL </w:t>
    </w:r>
    <w:r>
      <w:t xml:space="preserve">TREATMENT </w:t>
    </w:r>
    <w:r>
      <w:tab/>
    </w:r>
    <w:r>
      <w:tab/>
    </w:r>
    <w:sdt>
      <w:sdtPr>
        <w:id w:val="1418673595"/>
        <w:docPartObj>
          <w:docPartGallery w:val="Page Numbers (Top of Page)"/>
          <w:docPartUnique/>
        </w:docPartObj>
      </w:sdtPr>
      <w:sdtEndPr>
        <w:rPr>
          <w:noProof/>
        </w:rPr>
      </w:sdtEndPr>
      <w:sdtContent>
        <w:r w:rsidR="00963FE6">
          <w:fldChar w:fldCharType="begin"/>
        </w:r>
        <w:r>
          <w:instrText xml:space="preserve"> PAGE   \* MERGEFORMA</w:instrText>
        </w:r>
        <w:r>
          <w:instrText xml:space="preserve">T </w:instrText>
        </w:r>
        <w:r w:rsidR="00963FE6">
          <w:fldChar w:fldCharType="separate"/>
        </w:r>
        <w:r w:rsidR="00381992">
          <w:rPr>
            <w:noProof/>
          </w:rPr>
          <w:t>2</w:t>
        </w:r>
        <w:r w:rsidR="00963FE6">
          <w:rPr>
            <w:noProof/>
          </w:rPr>
          <w:fldChar w:fldCharType="end"/>
        </w:r>
      </w:sdtContent>
    </w:sdt>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1130" w:rsidRDefault="0039342A" w:rsidP="009A1130">
    <w:pPr>
      <w:pStyle w:val="Header"/>
      <w:jc w:val="right"/>
    </w:pPr>
    <w:r>
      <w:t xml:space="preserve">Running head: RIGHT TO </w:t>
    </w:r>
    <w:r w:rsidR="00F24E76">
      <w:t xml:space="preserve">PERSONAL </w:t>
    </w:r>
    <w:r>
      <w:t>TREATMENT</w:t>
    </w:r>
    <w:r>
      <w:tab/>
    </w:r>
    <w:r>
      <w:tab/>
    </w:r>
    <w:sdt>
      <w:sdtPr>
        <w:id w:val="-921645043"/>
        <w:docPartObj>
          <w:docPartGallery w:val="Page Numbers (Top of Page)"/>
          <w:docPartUnique/>
        </w:docPartObj>
      </w:sdtPr>
      <w:sdtEndPr>
        <w:rPr>
          <w:noProof/>
        </w:rPr>
      </w:sdtEndPr>
      <w:sdtContent>
        <w:r w:rsidR="00963FE6">
          <w:fldChar w:fldCharType="begin"/>
        </w:r>
        <w:r>
          <w:instrText xml:space="preserve"> PAGE   \* MERGEFORMAT </w:instrText>
        </w:r>
        <w:r w:rsidR="00963FE6">
          <w:fldChar w:fldCharType="separate"/>
        </w:r>
        <w:r w:rsidR="00381992">
          <w:rPr>
            <w:noProof/>
          </w:rPr>
          <w:t>1</w:t>
        </w:r>
        <w:r w:rsidR="00963FE6">
          <w:rPr>
            <w:noProof/>
          </w:rPr>
          <w:fldChar w:fldCharType="end"/>
        </w:r>
      </w:sdtContent>
    </w:sdt>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characterSpacingControl w:val="doNotCompress"/>
  <w:footnotePr>
    <w:footnote w:id="0"/>
    <w:footnote w:id="1"/>
  </w:footnotePr>
  <w:endnotePr>
    <w:endnote w:id="0"/>
    <w:endnote w:id="1"/>
  </w:endnotePr>
  <w:compat/>
  <w:rsids>
    <w:rsidRoot w:val="008F3B85"/>
    <w:rsid w:val="0002683F"/>
    <w:rsid w:val="001C1170"/>
    <w:rsid w:val="00312D62"/>
    <w:rsid w:val="00381992"/>
    <w:rsid w:val="0039342A"/>
    <w:rsid w:val="00486F12"/>
    <w:rsid w:val="0050403D"/>
    <w:rsid w:val="00515A7D"/>
    <w:rsid w:val="0052295D"/>
    <w:rsid w:val="005D44D2"/>
    <w:rsid w:val="00695D82"/>
    <w:rsid w:val="0075475A"/>
    <w:rsid w:val="0081721B"/>
    <w:rsid w:val="008B4156"/>
    <w:rsid w:val="008F3B85"/>
    <w:rsid w:val="0091188A"/>
    <w:rsid w:val="00963FE6"/>
    <w:rsid w:val="009A1130"/>
    <w:rsid w:val="00A26E4C"/>
    <w:rsid w:val="00B42A26"/>
    <w:rsid w:val="00B70ED0"/>
    <w:rsid w:val="00BC7059"/>
    <w:rsid w:val="00D33A18"/>
    <w:rsid w:val="00DD6165"/>
    <w:rsid w:val="00E06962"/>
    <w:rsid w:val="00EB1E15"/>
    <w:rsid w:val="00F24112"/>
    <w:rsid w:val="00F24E76"/>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heme="minorHAnsi" w:hAnsi="Times New Roman" w:cs="Times New Roman"/>
        <w:sz w:val="24"/>
        <w:szCs w:val="24"/>
        <w:lang w:val="en-US" w:eastAsia="en-US" w:bidi="ar-SA"/>
      </w:rPr>
    </w:rPrDefault>
    <w:pPrDefault>
      <w:pPr>
        <w:spacing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63FE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A1130"/>
    <w:pPr>
      <w:tabs>
        <w:tab w:val="center" w:pos="4680"/>
        <w:tab w:val="right" w:pos="9360"/>
      </w:tabs>
      <w:spacing w:line="240" w:lineRule="auto"/>
    </w:pPr>
  </w:style>
  <w:style w:type="character" w:customStyle="1" w:styleId="HeaderChar">
    <w:name w:val="Header Char"/>
    <w:basedOn w:val="DefaultParagraphFont"/>
    <w:link w:val="Header"/>
    <w:uiPriority w:val="99"/>
    <w:rsid w:val="009A1130"/>
  </w:style>
  <w:style w:type="paragraph" w:styleId="Footer">
    <w:name w:val="footer"/>
    <w:basedOn w:val="Normal"/>
    <w:link w:val="FooterChar"/>
    <w:uiPriority w:val="99"/>
    <w:unhideWhenUsed/>
    <w:rsid w:val="009A1130"/>
    <w:pPr>
      <w:tabs>
        <w:tab w:val="center" w:pos="4680"/>
        <w:tab w:val="right" w:pos="9360"/>
      </w:tabs>
      <w:spacing w:line="240" w:lineRule="auto"/>
    </w:pPr>
  </w:style>
  <w:style w:type="character" w:customStyle="1" w:styleId="FooterChar">
    <w:name w:val="Footer Char"/>
    <w:basedOn w:val="DefaultParagraphFont"/>
    <w:link w:val="Footer"/>
    <w:uiPriority w:val="99"/>
    <w:rsid w:val="009A1130"/>
  </w:style>
  <w:style w:type="character" w:styleId="Emphasis">
    <w:name w:val="Emphasis"/>
    <w:basedOn w:val="DefaultParagraphFont"/>
    <w:uiPriority w:val="20"/>
    <w:qFormat/>
    <w:rsid w:val="00B70ED0"/>
    <w:rPr>
      <w:i/>
      <w:iCs/>
    </w:rPr>
  </w:style>
  <w:style w:type="character" w:customStyle="1" w:styleId="smallcaps">
    <w:name w:val="smallcaps"/>
    <w:basedOn w:val="DefaultParagraphFont"/>
    <w:rsid w:val="00B70ED0"/>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154</TotalTime>
  <Pages>6</Pages>
  <Words>1037</Words>
  <Characters>5912</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6936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ANTONY BJ</cp:lastModifiedBy>
  <cp:revision>8</cp:revision>
  <dcterms:created xsi:type="dcterms:W3CDTF">2019-08-01T20:27:00Z</dcterms:created>
  <dcterms:modified xsi:type="dcterms:W3CDTF">2019-08-02T02:58:00Z</dcterms:modified>
</cp:coreProperties>
</file>